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6" w:rsidRDefault="00801426" w:rsidP="00801426">
      <w:pPr>
        <w:rPr>
          <w:sz w:val="24"/>
          <w:szCs w:val="24"/>
        </w:rPr>
      </w:pPr>
      <w:r w:rsidRPr="00562BDE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>Mental and Emotional Health</w:t>
      </w:r>
    </w:p>
    <w:p w:rsidR="00801426" w:rsidRDefault="00801426" w:rsidP="00801426">
      <w:pPr>
        <w:rPr>
          <w:sz w:val="24"/>
          <w:szCs w:val="24"/>
        </w:rPr>
      </w:pPr>
      <w:r w:rsidRPr="00562BDE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Adaptive Coping with Stress</w:t>
      </w:r>
    </w:p>
    <w:p w:rsidR="00801426" w:rsidRDefault="00801426" w:rsidP="00801426">
      <w:pPr>
        <w:rPr>
          <w:sz w:val="24"/>
          <w:szCs w:val="24"/>
        </w:rPr>
      </w:pPr>
      <w:r w:rsidRPr="00562BDE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KIDCOPE – Child Version</w:t>
      </w:r>
    </w:p>
    <w:p w:rsidR="00801426" w:rsidRDefault="00801426" w:rsidP="00801426">
      <w:pPr>
        <w:rPr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4428"/>
        <w:gridCol w:w="1080"/>
        <w:gridCol w:w="900"/>
        <w:gridCol w:w="1080"/>
        <w:gridCol w:w="1170"/>
        <w:gridCol w:w="1440"/>
      </w:tblGrid>
      <w:tr w:rsidR="00801426" w:rsidTr="00D814AC">
        <w:tc>
          <w:tcPr>
            <w:tcW w:w="10098" w:type="dxa"/>
            <w:gridSpan w:val="6"/>
          </w:tcPr>
          <w:p w:rsidR="00801426" w:rsidRDefault="00801426" w:rsidP="00D8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[PROGRAM: Either ask children to self-identify a recent stressor or provide a pre-identified stressor for children to consider when responding to these questions]</w:t>
            </w:r>
          </w:p>
          <w:p w:rsidR="00801426" w:rsidRDefault="00801426" w:rsidP="00D814AC">
            <w:pPr>
              <w:rPr>
                <w:sz w:val="24"/>
                <w:szCs w:val="24"/>
              </w:rPr>
            </w:pPr>
            <w:r w:rsidRPr="00C2713A">
              <w:rPr>
                <w:sz w:val="24"/>
                <w:szCs w:val="24"/>
              </w:rPr>
              <w:t>Please read</w:t>
            </w:r>
            <w:r>
              <w:rPr>
                <w:sz w:val="24"/>
                <w:szCs w:val="24"/>
              </w:rPr>
              <w:t xml:space="preserve"> </w:t>
            </w:r>
            <w:r w:rsidRPr="00C2713A">
              <w:rPr>
                <w:sz w:val="24"/>
                <w:szCs w:val="24"/>
              </w:rPr>
              <w:t xml:space="preserve">each questions </w:t>
            </w:r>
            <w:r>
              <w:rPr>
                <w:sz w:val="24"/>
                <w:szCs w:val="24"/>
              </w:rPr>
              <w:t xml:space="preserve">and check </w:t>
            </w:r>
            <w:r w:rsidRPr="00C2713A">
              <w:rPr>
                <w:sz w:val="24"/>
                <w:szCs w:val="24"/>
              </w:rPr>
              <w:t>the best answer.</w:t>
            </w:r>
          </w:p>
        </w:tc>
      </w:tr>
      <w:tr w:rsidR="00801426" w:rsidTr="00D814AC">
        <w:tc>
          <w:tcPr>
            <w:tcW w:w="4428" w:type="dxa"/>
          </w:tcPr>
          <w:p w:rsidR="00801426" w:rsidRPr="00706BFC" w:rsidRDefault="00801426" w:rsidP="00D814AC"/>
        </w:tc>
        <w:tc>
          <w:tcPr>
            <w:tcW w:w="1980" w:type="dxa"/>
            <w:gridSpan w:val="2"/>
            <w:tcBorders>
              <w:right w:val="single" w:sz="18" w:space="0" w:color="auto"/>
            </w:tcBorders>
            <w:vAlign w:val="center"/>
          </w:tcPr>
          <w:p w:rsidR="00801426" w:rsidRPr="00706BFC" w:rsidRDefault="00801426" w:rsidP="00D814AC">
            <w:pPr>
              <w:jc w:val="center"/>
            </w:pPr>
            <w:r w:rsidRPr="00706BFC">
              <w:rPr>
                <w:rFonts w:eastAsia="Calibri" w:cs="Times New Roman"/>
                <w:b/>
              </w:rPr>
              <w:t>Did you do this?</w:t>
            </w:r>
          </w:p>
        </w:tc>
        <w:tc>
          <w:tcPr>
            <w:tcW w:w="3690" w:type="dxa"/>
            <w:gridSpan w:val="3"/>
            <w:tcBorders>
              <w:left w:val="single" w:sz="18" w:space="0" w:color="auto"/>
            </w:tcBorders>
            <w:vAlign w:val="center"/>
          </w:tcPr>
          <w:p w:rsidR="00801426" w:rsidRPr="00706BFC" w:rsidRDefault="00801426" w:rsidP="00D814AC">
            <w:pPr>
              <w:jc w:val="center"/>
            </w:pPr>
            <w:r w:rsidRPr="00706BFC">
              <w:rPr>
                <w:rFonts w:eastAsia="Calibri" w:cs="Times New Roman"/>
                <w:b/>
              </w:rPr>
              <w:t>How much did it help?</w:t>
            </w:r>
          </w:p>
        </w:tc>
      </w:tr>
      <w:tr w:rsidR="00801426" w:rsidTr="00D814AC">
        <w:tc>
          <w:tcPr>
            <w:tcW w:w="4428" w:type="dxa"/>
          </w:tcPr>
          <w:p w:rsidR="00801426" w:rsidRPr="00706BFC" w:rsidRDefault="00801426" w:rsidP="00D814AC"/>
        </w:tc>
        <w:tc>
          <w:tcPr>
            <w:tcW w:w="1080" w:type="dxa"/>
            <w:vAlign w:val="center"/>
          </w:tcPr>
          <w:p w:rsidR="00801426" w:rsidRPr="00706BFC" w:rsidRDefault="00801426" w:rsidP="00D814AC">
            <w:pPr>
              <w:jc w:val="center"/>
            </w:pPr>
            <w:r w:rsidRPr="00706BFC">
              <w:t>Yes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06BFC" w:rsidRDefault="00801426" w:rsidP="00D814AC">
            <w:pPr>
              <w:jc w:val="center"/>
            </w:pPr>
            <w:r w:rsidRPr="00706BFC">
              <w:t>No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Pr="00706BFC" w:rsidRDefault="00801426" w:rsidP="00D814AC">
            <w:pPr>
              <w:jc w:val="center"/>
            </w:pPr>
            <w:r w:rsidRPr="00706BFC">
              <w:t>Not at all</w:t>
            </w:r>
          </w:p>
        </w:tc>
        <w:tc>
          <w:tcPr>
            <w:tcW w:w="1170" w:type="dxa"/>
            <w:vAlign w:val="center"/>
          </w:tcPr>
          <w:p w:rsidR="00801426" w:rsidRPr="00706BFC" w:rsidRDefault="00801426" w:rsidP="00D814AC">
            <w:pPr>
              <w:jc w:val="center"/>
            </w:pPr>
            <w:r w:rsidRPr="00706BFC">
              <w:t>A little</w:t>
            </w:r>
          </w:p>
        </w:tc>
        <w:tc>
          <w:tcPr>
            <w:tcW w:w="1440" w:type="dxa"/>
            <w:vAlign w:val="center"/>
          </w:tcPr>
          <w:p w:rsidR="00801426" w:rsidRPr="00706BFC" w:rsidRDefault="00801426" w:rsidP="00D814AC">
            <w:pPr>
              <w:jc w:val="center"/>
            </w:pPr>
            <w:r w:rsidRPr="00706BFC">
              <w:t>A lot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rPr>
                <w:rFonts w:eastAsia="Calibri" w:cs="Times New Roman"/>
              </w:rPr>
              <w:t xml:space="preserve">1. </w:t>
            </w:r>
            <w:r w:rsidRPr="00706BFC">
              <w:rPr>
                <w:rFonts w:eastAsia="Calibri" w:cs="Times New Roman"/>
              </w:rPr>
              <w:t>I just tried to forget it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 xml:space="preserve">2. </w:t>
            </w:r>
            <w:r w:rsidRPr="00706BFC">
              <w:t xml:space="preserve">I did </w:t>
            </w:r>
            <w:r>
              <w:t>something like watch TV or played a game to forget it.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3. I stayed by myself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4. I kept quiet about the problem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5. I tried to see the good side of things.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6. I blamed myself for causing the problem.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7. I blamed someone else for causing the problem.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Default="00801426" w:rsidP="00D814AC">
            <w:r>
              <w:t>8. I tried to fix the problem by thinking of answers.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9. I tried to fix the problem by doing something or talking to someone.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10. I yelled, screamed, or got mad.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11. I tried to calm myself down.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12. I wished the problem had never happened.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13. I wished I could make things different.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lastRenderedPageBreak/>
              <w:t>14. I tried to feel better by spending time with others like family, grownups, or friends.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801426" w:rsidTr="00D814AC">
        <w:tc>
          <w:tcPr>
            <w:tcW w:w="4428" w:type="dxa"/>
            <w:vAlign w:val="center"/>
          </w:tcPr>
          <w:p w:rsidR="00801426" w:rsidRPr="00706BFC" w:rsidRDefault="00801426" w:rsidP="00D814AC">
            <w:r>
              <w:t>15. I didn’t do anything because the problem couldn’t be fixed.</w:t>
            </w:r>
          </w:p>
        </w:tc>
        <w:tc>
          <w:tcPr>
            <w:tcW w:w="1080" w:type="dxa"/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801426" w:rsidRPr="00765728" w:rsidRDefault="0080142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801426" w:rsidRDefault="00801426" w:rsidP="00D814AC">
            <w:pPr>
              <w:jc w:val="center"/>
              <w:rPr>
                <w:sz w:val="40"/>
                <w:szCs w:val="40"/>
              </w:rPr>
            </w:pPr>
            <w:r w:rsidRPr="00EA0F82">
              <w:rPr>
                <w:sz w:val="40"/>
                <w:szCs w:val="40"/>
              </w:rPr>
              <w:t>□</w:t>
            </w:r>
          </w:p>
          <w:p w:rsidR="00801426" w:rsidRDefault="00801426" w:rsidP="00D814AC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</w:tbl>
    <w:p w:rsidR="00801426" w:rsidRDefault="00801426" w:rsidP="00801426">
      <w:pPr>
        <w:spacing w:line="240" w:lineRule="auto"/>
        <w:rPr>
          <w:sz w:val="24"/>
          <w:szCs w:val="24"/>
        </w:rPr>
      </w:pPr>
    </w:p>
    <w:p w:rsidR="00801426" w:rsidRDefault="00801426" w:rsidP="00801426">
      <w:pPr>
        <w:spacing w:line="240" w:lineRule="auto"/>
        <w:rPr>
          <w:sz w:val="24"/>
          <w:szCs w:val="24"/>
        </w:rPr>
      </w:pPr>
    </w:p>
    <w:p w:rsidR="00801426" w:rsidRPr="009713D1" w:rsidRDefault="00801426" w:rsidP="00801426">
      <w:pPr>
        <w:rPr>
          <w:b/>
          <w:sz w:val="24"/>
          <w:szCs w:val="24"/>
        </w:rPr>
      </w:pPr>
      <w:r w:rsidRPr="009713D1">
        <w:rPr>
          <w:b/>
          <w:sz w:val="24"/>
          <w:szCs w:val="24"/>
        </w:rPr>
        <w:t>Scoring Instructions:</w:t>
      </w:r>
    </w:p>
    <w:p w:rsidR="00556C1B" w:rsidRPr="00801426" w:rsidRDefault="00801426" w:rsidP="00801426">
      <w:pPr>
        <w:pStyle w:val="normal0"/>
        <w:rPr>
          <w:rFonts w:asciiTheme="minorHAnsi" w:eastAsia="Arial" w:hAnsiTheme="minorHAnsi" w:cs="Arial"/>
        </w:rPr>
      </w:pPr>
      <w:r w:rsidRPr="0010577A">
        <w:rPr>
          <w:rFonts w:asciiTheme="minorHAnsi" w:eastAsia="Arial" w:hAnsiTheme="minorHAnsi" w:cs="Arial"/>
        </w:rPr>
        <w:t xml:space="preserve">Ratings of frequency </w:t>
      </w:r>
      <w:r>
        <w:rPr>
          <w:rFonts w:asciiTheme="minorHAnsi" w:eastAsia="Arial" w:hAnsiTheme="minorHAnsi" w:cs="Arial"/>
        </w:rPr>
        <w:t xml:space="preserve">(Did you do this?) </w:t>
      </w:r>
      <w:r w:rsidRPr="0010577A">
        <w:rPr>
          <w:rFonts w:asciiTheme="minorHAnsi" w:eastAsia="Arial" w:hAnsiTheme="minorHAnsi" w:cs="Arial"/>
        </w:rPr>
        <w:t xml:space="preserve">and efficacy </w:t>
      </w:r>
      <w:r>
        <w:rPr>
          <w:rFonts w:asciiTheme="minorHAnsi" w:eastAsia="Arial" w:hAnsiTheme="minorHAnsi" w:cs="Arial"/>
        </w:rPr>
        <w:t xml:space="preserve">(How much did it help?) </w:t>
      </w:r>
      <w:r w:rsidRPr="0010577A">
        <w:rPr>
          <w:rFonts w:asciiTheme="minorHAnsi" w:eastAsia="Arial" w:hAnsiTheme="minorHAnsi" w:cs="Arial"/>
        </w:rPr>
        <w:t xml:space="preserve">can be considered separately or in combination when scoring the KIDCOPE. </w:t>
      </w:r>
      <w:r>
        <w:rPr>
          <w:rFonts w:asciiTheme="minorHAnsi" w:eastAsia="Arial" w:hAnsiTheme="minorHAnsi" w:cs="Arial"/>
        </w:rPr>
        <w:t xml:space="preserve">When </w:t>
      </w:r>
      <w:r w:rsidRPr="0010577A">
        <w:rPr>
          <w:rFonts w:asciiTheme="minorHAnsi" w:eastAsia="Arial" w:hAnsiTheme="minorHAnsi" w:cs="Arial"/>
        </w:rPr>
        <w:t xml:space="preserve">assessed </w:t>
      </w:r>
      <w:r>
        <w:rPr>
          <w:rFonts w:asciiTheme="minorHAnsi" w:eastAsia="Arial" w:hAnsiTheme="minorHAnsi" w:cs="Arial"/>
        </w:rPr>
        <w:t>each type</w:t>
      </w:r>
      <w:r w:rsidRPr="0010577A">
        <w:rPr>
          <w:rFonts w:asciiTheme="minorHAnsi" w:eastAsia="Arial" w:hAnsiTheme="minorHAnsi" w:cs="Arial"/>
        </w:rPr>
        <w:t xml:space="preserve"> of copi</w:t>
      </w:r>
      <w:r>
        <w:rPr>
          <w:rFonts w:asciiTheme="minorHAnsi" w:eastAsia="Arial" w:hAnsiTheme="minorHAnsi" w:cs="Arial"/>
        </w:rPr>
        <w:t>ng strategy</w:t>
      </w:r>
      <w:r w:rsidRPr="0010577A">
        <w:rPr>
          <w:rFonts w:asciiTheme="minorHAnsi" w:eastAsia="Arial" w:hAnsiTheme="minorHAnsi" w:cs="Arial"/>
        </w:rPr>
        <w:t xml:space="preserve"> separately</w:t>
      </w:r>
      <w:r>
        <w:rPr>
          <w:rFonts w:asciiTheme="minorHAnsi" w:eastAsia="Arial" w:hAnsiTheme="minorHAnsi" w:cs="Arial"/>
        </w:rPr>
        <w:t xml:space="preserve">, </w:t>
      </w:r>
      <w:r w:rsidRPr="0010577A">
        <w:rPr>
          <w:rFonts w:asciiTheme="minorHAnsi" w:eastAsia="Arial" w:hAnsiTheme="minorHAnsi" w:cs="Arial"/>
        </w:rPr>
        <w:t>frequency can be computed as to whether a coping strategy was used</w:t>
      </w:r>
      <w:r>
        <w:rPr>
          <w:rFonts w:asciiTheme="minorHAnsi" w:eastAsia="Arial" w:hAnsiTheme="minorHAnsi" w:cs="Arial"/>
        </w:rPr>
        <w:t xml:space="preserve"> or not. </w:t>
      </w:r>
      <w:r w:rsidRPr="0010577A">
        <w:rPr>
          <w:rFonts w:asciiTheme="minorHAnsi" w:eastAsia="Arial" w:hAnsiTheme="minorHAnsi" w:cs="Arial"/>
        </w:rPr>
        <w:t xml:space="preserve">Alternatively, </w:t>
      </w:r>
      <w:r>
        <w:rPr>
          <w:rFonts w:asciiTheme="minorHAnsi" w:eastAsia="Arial" w:hAnsiTheme="minorHAnsi" w:cs="Arial"/>
        </w:rPr>
        <w:t>s</w:t>
      </w:r>
      <w:r w:rsidRPr="0010577A">
        <w:rPr>
          <w:rFonts w:asciiTheme="minorHAnsi" w:eastAsia="Arial" w:hAnsiTheme="minorHAnsi" w:cs="Arial"/>
        </w:rPr>
        <w:t>eparate scores can be computed for positive and negative coping strategies by averaging across responses for the items that ask about each type of co</w:t>
      </w:r>
      <w:r>
        <w:rPr>
          <w:rFonts w:asciiTheme="minorHAnsi" w:eastAsia="Arial" w:hAnsiTheme="minorHAnsi" w:cs="Arial"/>
        </w:rPr>
        <w:t>ping strategy. P</w:t>
      </w:r>
      <w:r w:rsidRPr="009713D1">
        <w:rPr>
          <w:rFonts w:asciiTheme="minorHAnsi" w:eastAsia="Arial" w:hAnsiTheme="minorHAnsi" w:cs="Arial"/>
        </w:rPr>
        <w:t>ositive or adaptive</w:t>
      </w:r>
      <w:r>
        <w:rPr>
          <w:rFonts w:asciiTheme="minorHAnsi" w:eastAsia="Arial" w:hAnsiTheme="minorHAnsi" w:cs="Arial"/>
        </w:rPr>
        <w:t xml:space="preserve"> strategies are measured by items 5, 8, 9, 11, and 14; </w:t>
      </w:r>
      <w:r w:rsidRPr="009713D1">
        <w:rPr>
          <w:rFonts w:asciiTheme="minorHAnsi" w:eastAsia="Arial" w:hAnsiTheme="minorHAnsi" w:cs="Arial"/>
        </w:rPr>
        <w:t xml:space="preserve">negative or maladaptive </w:t>
      </w:r>
      <w:r>
        <w:rPr>
          <w:rFonts w:asciiTheme="minorHAnsi" w:eastAsia="Arial" w:hAnsiTheme="minorHAnsi" w:cs="Arial"/>
        </w:rPr>
        <w:t>strategies are measured by items 1, 2, 3, 4, 6, 10, 12, 13, and 15</w:t>
      </w:r>
      <w:r w:rsidRPr="009713D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Using this </w:t>
      </w:r>
      <w:r w:rsidRPr="0010577A">
        <w:rPr>
          <w:rFonts w:asciiTheme="minorHAnsi" w:eastAsia="Arial" w:hAnsiTheme="minorHAnsi" w:cs="Arial"/>
        </w:rPr>
        <w:t>approach, the total number of strategies used within a given category (e.g., positive)</w:t>
      </w:r>
      <w:r>
        <w:rPr>
          <w:rFonts w:asciiTheme="minorHAnsi" w:eastAsia="Arial" w:hAnsiTheme="minorHAnsi" w:cs="Arial"/>
        </w:rPr>
        <w:t xml:space="preserve"> can be computed</w:t>
      </w:r>
      <w:r w:rsidRPr="0010577A">
        <w:rPr>
          <w:rFonts w:asciiTheme="minorHAnsi" w:eastAsia="Arial" w:hAnsiTheme="minorHAnsi" w:cs="Arial"/>
        </w:rPr>
        <w:t xml:space="preserve">, and efficacy can be computed as the average of the ratings of helpfulness (0 for </w:t>
      </w:r>
      <w:r w:rsidRPr="0010577A">
        <w:rPr>
          <w:rFonts w:asciiTheme="minorHAnsi" w:eastAsia="Arial" w:hAnsiTheme="minorHAnsi" w:cs="Arial"/>
          <w:i/>
        </w:rPr>
        <w:t>Not at all</w:t>
      </w:r>
      <w:r w:rsidRPr="0010577A">
        <w:rPr>
          <w:rFonts w:asciiTheme="minorHAnsi" w:eastAsia="Arial" w:hAnsiTheme="minorHAnsi" w:cs="Arial"/>
        </w:rPr>
        <w:t xml:space="preserve">, 1 for </w:t>
      </w:r>
      <w:r w:rsidRPr="0010577A">
        <w:rPr>
          <w:rFonts w:asciiTheme="minorHAnsi" w:eastAsia="Arial" w:hAnsiTheme="minorHAnsi" w:cs="Arial"/>
          <w:i/>
        </w:rPr>
        <w:t>A little</w:t>
      </w:r>
      <w:r w:rsidRPr="0010577A">
        <w:rPr>
          <w:rFonts w:asciiTheme="minorHAnsi" w:eastAsia="Arial" w:hAnsiTheme="minorHAnsi" w:cs="Arial"/>
        </w:rPr>
        <w:t xml:space="preserve"> and 2 for </w:t>
      </w:r>
      <w:r w:rsidRPr="0010577A">
        <w:rPr>
          <w:rFonts w:asciiTheme="minorHAnsi" w:eastAsia="Arial" w:hAnsiTheme="minorHAnsi" w:cs="Arial"/>
          <w:i/>
        </w:rPr>
        <w:t>A lot</w:t>
      </w:r>
      <w:r w:rsidRPr="0010577A">
        <w:rPr>
          <w:rFonts w:asciiTheme="minorHAnsi" w:eastAsia="Arial" w:hAnsiTheme="minorHAnsi" w:cs="Arial"/>
        </w:rPr>
        <w:t>) for those strategies endorsed.</w:t>
      </w:r>
    </w:p>
    <w:sectPr w:rsidR="00556C1B" w:rsidRPr="00801426" w:rsidSect="009506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26" w:rsidRDefault="00801426" w:rsidP="00801426">
      <w:pPr>
        <w:spacing w:line="240" w:lineRule="auto"/>
      </w:pPr>
      <w:r>
        <w:separator/>
      </w:r>
    </w:p>
  </w:endnote>
  <w:endnote w:type="continuationSeparator" w:id="0">
    <w:p w:rsidR="00801426" w:rsidRDefault="00801426" w:rsidP="00801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26" w:rsidRDefault="00801426" w:rsidP="00801426">
      <w:pPr>
        <w:spacing w:line="240" w:lineRule="auto"/>
      </w:pPr>
      <w:r>
        <w:separator/>
      </w:r>
    </w:p>
  </w:footnote>
  <w:footnote w:type="continuationSeparator" w:id="0">
    <w:p w:rsidR="00801426" w:rsidRDefault="00801426" w:rsidP="008014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26" w:rsidRDefault="00801426" w:rsidP="00801426">
    <w:pPr>
      <w:jc w:val="center"/>
    </w:pPr>
    <w:r>
      <w:t xml:space="preserve">National Mentoring Resource Center (NMRC) </w:t>
    </w:r>
  </w:p>
  <w:p w:rsidR="00801426" w:rsidRDefault="00801426" w:rsidP="00801426">
    <w:pPr>
      <w:jc w:val="center"/>
    </w:pPr>
    <w:r>
      <w:t>Measurement Guidance Toolkit</w:t>
    </w:r>
  </w:p>
  <w:p w:rsidR="00801426" w:rsidRDefault="00801426" w:rsidP="00801426">
    <w:pPr>
      <w:jc w:val="center"/>
    </w:pPr>
    <w:r>
      <w:t>Ready-to-Use Measures</w:t>
    </w:r>
  </w:p>
  <w:p w:rsidR="00801426" w:rsidRDefault="00801426">
    <w:pPr>
      <w:pStyle w:val="Header"/>
    </w:pPr>
  </w:p>
  <w:p w:rsidR="00801426" w:rsidRDefault="008014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426"/>
    <w:rsid w:val="0013506B"/>
    <w:rsid w:val="0058251C"/>
    <w:rsid w:val="00801426"/>
    <w:rsid w:val="0095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2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rsid w:val="008014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4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26"/>
  </w:style>
  <w:style w:type="paragraph" w:styleId="Footer">
    <w:name w:val="footer"/>
    <w:basedOn w:val="Normal"/>
    <w:link w:val="FooterChar"/>
    <w:uiPriority w:val="99"/>
    <w:semiHidden/>
    <w:unhideWhenUsed/>
    <w:rsid w:val="008014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426"/>
  </w:style>
  <w:style w:type="paragraph" w:styleId="BalloonText">
    <w:name w:val="Balloon Text"/>
    <w:basedOn w:val="Normal"/>
    <w:link w:val="BalloonTextChar"/>
    <w:uiPriority w:val="99"/>
    <w:semiHidden/>
    <w:unhideWhenUsed/>
    <w:rsid w:val="00801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UIC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1</cp:revision>
  <dcterms:created xsi:type="dcterms:W3CDTF">2016-08-23T20:12:00Z</dcterms:created>
  <dcterms:modified xsi:type="dcterms:W3CDTF">2016-08-23T20:13:00Z</dcterms:modified>
</cp:coreProperties>
</file>