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sz w:val="24"/>
          <w:szCs w:val="24"/>
          <w:rtl w:val="0"/>
        </w:rPr>
        <w:t xml:space="preserve"> Academics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OUTCOME:</w:t>
      </w:r>
      <w:r w:rsidDel="00000000" w:rsidR="00000000" w:rsidRPr="00000000">
        <w:rPr>
          <w:sz w:val="24"/>
          <w:szCs w:val="24"/>
          <w:rtl w:val="0"/>
        </w:rPr>
        <w:t xml:space="preserve"> School Engagement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Engagement versus Disaffection with Learning (EvsD)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we provide the entire EvsD scale. The recommended measure for school engagement is the Behavioral Engagement subscale, listed in the first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507"/>
        <w:gridCol w:w="1707"/>
        <w:gridCol w:w="1617"/>
        <w:gridCol w:w="1806"/>
        <w:tblGridChange w:id="0">
          <w:tblGrid>
            <w:gridCol w:w="2628"/>
            <w:gridCol w:w="1507"/>
            <w:gridCol w:w="1707"/>
            <w:gridCol w:w="1617"/>
            <w:gridCol w:w="1806"/>
          </w:tblGrid>
        </w:tblGridChange>
      </w:tblGrid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Behavioral Engagement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These questions ask about how you feel about school. Mark the best answer for each statement.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at all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very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Sort of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Very true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 I try hard to do well in school.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In class, I work as hard as I can.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 When I’m in class, I participate in class discussions.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I pay attention in class.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5. When I’m in class, I listen very carefully.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507"/>
        <w:gridCol w:w="1710"/>
        <w:gridCol w:w="1620"/>
        <w:gridCol w:w="1800"/>
        <w:tblGridChange w:id="0">
          <w:tblGrid>
            <w:gridCol w:w="2628"/>
            <w:gridCol w:w="1507"/>
            <w:gridCol w:w="1710"/>
            <w:gridCol w:w="1620"/>
            <w:gridCol w:w="1800"/>
          </w:tblGrid>
        </w:tblGridChange>
      </w:tblGrid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Emotional Engagement</w:t>
            </w:r>
          </w:p>
        </w:tc>
      </w:tr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These questions ask about how you feel about school. Mark the best answer for each statement.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at all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very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Sort of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Very true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 When I’m in class, I feel good.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When we work on something in class, I feel interested.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 Class is fun.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I enjoy learning new things in class.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5. When we work on something in class, I get involved.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507"/>
        <w:gridCol w:w="1620"/>
        <w:gridCol w:w="1710"/>
        <w:gridCol w:w="1620"/>
        <w:tblGridChange w:id="0">
          <w:tblGrid>
            <w:gridCol w:w="2628"/>
            <w:gridCol w:w="1507"/>
            <w:gridCol w:w="1620"/>
            <w:gridCol w:w="1710"/>
            <w:gridCol w:w="1620"/>
          </w:tblGrid>
        </w:tblGridChange>
      </w:tblGrid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Behavioral Disaffection</w:t>
            </w:r>
          </w:p>
        </w:tc>
      </w:tr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These questions ask about how you feel about school. Mark the best answer for each statement.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at all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very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Sort of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Very true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 When I’m in class, I just act like I’m working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I don’t try very hard at school.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 In class, I do just enough to get by.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When I’m in class, I think about other things.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5. When I’m in class, my mind wanders.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507"/>
        <w:gridCol w:w="1620"/>
        <w:gridCol w:w="1710"/>
        <w:gridCol w:w="1620"/>
        <w:tblGridChange w:id="0">
          <w:tblGrid>
            <w:gridCol w:w="2628"/>
            <w:gridCol w:w="1507"/>
            <w:gridCol w:w="1620"/>
            <w:gridCol w:w="1710"/>
            <w:gridCol w:w="1620"/>
          </w:tblGrid>
        </w:tblGridChange>
      </w:tblGrid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Emotional Disaffection</w:t>
            </w:r>
          </w:p>
        </w:tc>
      </w:tr>
      <w:tr>
        <w:trPr>
          <w:trHeight w:val="5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These questions ask about how you feel about school. Mark the best answer for each statement.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at all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 very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Sort of true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Very true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1. When we work on something in class, I feel bored.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When I’m in class, I feel worried.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 When we work on something in class, I feel discouraged.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Class is not all that fun for me.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5. When I’m in class, I feel bad.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990" w:top="12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  <w:rPr/>
    </w:pPr>
    <w:r w:rsidDel="00000000" w:rsidR="00000000" w:rsidRPr="00000000">
      <w:rPr>
        <w:rtl w:val="0"/>
      </w:rPr>
      <w:t xml:space="preserve">National Mentoring Resource Center (NMRC) 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Measurement Guidance Toolkit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Ready-to-Use Measures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