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DOMAIN: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Interpersonal Relationships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OUTCOME: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Social Capital</w:t>
      </w:r>
      <w:r w:rsidDel="00000000" w:rsidR="00000000" w:rsidRPr="00000000">
        <w:rPr>
          <w:sz w:val="24"/>
          <w:szCs w:val="24"/>
          <w:rtl w:val="0"/>
        </w:rPr>
        <w:t xml:space="preserve">: Mentor Capital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MEASURE: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Mentor Connecting Scale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78"/>
        <w:gridCol w:w="1350"/>
        <w:gridCol w:w="1170"/>
        <w:gridCol w:w="1620"/>
        <w:gridCol w:w="1620"/>
        <w:gridCol w:w="1620"/>
        <w:tblGridChange w:id="0">
          <w:tblGrid>
            <w:gridCol w:w="4878"/>
            <w:gridCol w:w="1350"/>
            <w:gridCol w:w="1170"/>
            <w:gridCol w:w="1620"/>
            <w:gridCol w:w="1620"/>
            <w:gridCol w:w="162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spacing w:after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Below is a list of things that you may or may not have engaged in with, or on behalf of, your mentee.  Different mentors take different approaches; it is not expected that you will have necessarily engaged in any of these activities. Please simply indicate what has been the case so far in your relationship with your mentee.  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often have you done the following with, or on behalf of, your mentee?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Once or twice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few times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Several times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Most or all of the time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260" w:hanging="2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Introducing my mentee to school or community services and resources that could support him/her (e.g., clubs, jobs, tutors, after-school activities)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5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260" w:hanging="2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Introducing my mentee to interesting or influential adults in the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0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260" w:hanging="2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Connecting my mentee with someone who could teach him/her a skill or provide guidance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B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260" w:hanging="2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Introducing my mentee to new situations and settings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-198" w:firstLine="19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6">
            <w:pPr>
              <w:ind w:left="-198" w:firstLine="178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  <w:t xml:space="preserve">National Mentoring Resource Center (NMRC) </w:t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tl w:val="0"/>
      </w:rPr>
      <w:t xml:space="preserve">Measurement Guidance Toolkit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  <w:t xml:space="preserve">Ready-to-Use Measures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