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DOMAIN:</w:t>
      </w:r>
      <w:r w:rsidDel="00000000" w:rsidR="00000000" w:rsidRPr="00000000">
        <w:rPr>
          <w:sz w:val="24"/>
          <w:szCs w:val="24"/>
          <w:rtl w:val="0"/>
        </w:rPr>
        <w:t xml:space="preserve"> Interpersonal Relationships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OUTCOME:</w:t>
      </w:r>
      <w:r w:rsidDel="00000000" w:rsidR="00000000" w:rsidRPr="00000000">
        <w:rPr>
          <w:sz w:val="24"/>
          <w:szCs w:val="24"/>
          <w:rtl w:val="0"/>
        </w:rPr>
        <w:t xml:space="preserve"> Social Capital: Network Orientation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MEASURE: </w:t>
      </w:r>
      <w:r w:rsidDel="00000000" w:rsidR="00000000" w:rsidRPr="00000000">
        <w:rPr>
          <w:sz w:val="24"/>
          <w:szCs w:val="24"/>
          <w:rtl w:val="0"/>
        </w:rPr>
        <w:t xml:space="preserve">Network Orientation Scale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78"/>
        <w:gridCol w:w="1350"/>
        <w:gridCol w:w="1170"/>
        <w:gridCol w:w="1620"/>
        <w:gridCol w:w="1620"/>
        <w:tblGridChange w:id="0">
          <w:tblGrid>
            <w:gridCol w:w="4878"/>
            <w:gridCol w:w="1350"/>
            <w:gridCol w:w="1170"/>
            <w:gridCol w:w="1620"/>
            <w:gridCol w:w="1620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Strongly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Disagree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Disagree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Agree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Strongly Agree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260" w:hanging="2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More experienced adults (for example, teachers, professors, extended family members, family friends, coaches, religious leaders) often have good advice to give.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F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260" w:hanging="2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Sometimes it’s necessary to talk to more experienced adults about your problems.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8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260" w:hanging="2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I often get useful information from more experienced adults.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1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260" w:hanging="2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  <w:t xml:space="preserve">People should keep their problems to themselves.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A">
            <w:pPr>
              <w:ind w:left="-198" w:firstLine="17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270" w:hanging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tl w:val="0"/>
              </w:rPr>
              <w:t xml:space="preserve">In the past, more experienced adults have really helped me out when I’ve had a problem.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3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270" w:hanging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tl w:val="0"/>
              </w:rPr>
              <w:t xml:space="preserve">When a person gets upset they should talk it over with other people.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C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270" w:hanging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tl w:val="0"/>
              </w:rPr>
              <w:t xml:space="preserve">More experienced adults never understand my problems.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5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270" w:hanging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  <w:t xml:space="preserve">If you can’t figure out your problems, nobody can.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E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270" w:hanging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tl w:val="0"/>
              </w:rPr>
              <w:t xml:space="preserve">It’s okay to ask favors </w:t>
            </w:r>
            <w:r w:rsidDel="00000000" w:rsidR="00000000" w:rsidRPr="00000000">
              <w:rPr>
                <w:rtl w:val="0"/>
              </w:rPr>
              <w:t xml:space="preserve">of more</w:t>
            </w:r>
            <w:r w:rsidDel="00000000" w:rsidR="00000000" w:rsidRPr="00000000">
              <w:rPr>
                <w:rtl w:val="0"/>
              </w:rPr>
              <w:t xml:space="preserve"> experienced adults.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7">
            <w:pPr>
              <w:ind w:left="-198" w:firstLine="19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jc w:val="center"/>
      <w:rPr/>
    </w:pPr>
    <w:r w:rsidDel="00000000" w:rsidR="00000000" w:rsidRPr="00000000">
      <w:rPr>
        <w:rtl w:val="0"/>
      </w:rPr>
      <w:t xml:space="preserve">National Mentoring Resource Center (NMRC) </w:t>
    </w:r>
  </w:p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tl w:val="0"/>
      </w:rPr>
      <w:t xml:space="preserve">Measurement Guidance Toolkit</w:t>
    </w:r>
  </w:p>
  <w:p w:rsidR="00000000" w:rsidDel="00000000" w:rsidP="00000000" w:rsidRDefault="00000000" w:rsidRPr="00000000" w14:paraId="0000005F">
    <w:pPr>
      <w:jc w:val="center"/>
      <w:rPr/>
    </w:pPr>
    <w:r w:rsidDel="00000000" w:rsidR="00000000" w:rsidRPr="00000000">
      <w:rPr>
        <w:rtl w:val="0"/>
      </w:rPr>
      <w:t xml:space="preserve">Ready-to-Use Measures</w:t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lj4uMq8WuvXX8t/uzYXJHFXUQ==">CgMxLjAyCGguZ2pkZ3hzOAByITF1b1RDZ3Rzc21Ba3pRaVpHcTI5azRyYnJlMkhUSHQ5aA==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2024-05-24T18:13:00Z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0cae2c6de07d1861d2f0990e4edb02b4a72dab3e6f6fbe1d4a3ad2ac142d3484</vt:lpwstr>
  </property>
</Properties>
</file>